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4xlgfwzomzu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Klauzula informacyjna RODO – formularz zgłoszeniowy (Google Forms)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Projekt:</w:t>
      </w:r>
      <w:r w:rsidDel="00000000" w:rsidR="00000000" w:rsidRPr="00000000">
        <w:rPr>
          <w:rtl w:val="0"/>
        </w:rPr>
        <w:t xml:space="preserve"> „Technologia z misją. Zarządzanie NGO z wykorzystaniem AI”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6lj28cat8f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1) Administrator danych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Fundacja Klaster Innowacji Społecznych</w:t>
      </w:r>
      <w:r w:rsidDel="00000000" w:rsidR="00000000" w:rsidRPr="00000000">
        <w:rPr>
          <w:rtl w:val="0"/>
        </w:rPr>
        <w:t xml:space="preserve"> (KIS).</w:t>
        <w:br w:type="textWrapping"/>
        <w:t xml:space="preserve"> Kontakt: </w:t>
      </w:r>
      <w:r w:rsidDel="00000000" w:rsidR="00000000" w:rsidRPr="00000000">
        <w:rPr>
          <w:b w:val="1"/>
          <w:rtl w:val="0"/>
        </w:rPr>
        <w:t xml:space="preserve">kontakt@klaster.org.pl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l7rm3u3b0b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2) Cele i podstawy prawne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Rekrutacja i organizacja udziału w szkoleniach / komunikacja operacyjna</w:t>
      </w:r>
      <w:r w:rsidDel="00000000" w:rsidR="00000000" w:rsidRPr="00000000">
        <w:rPr>
          <w:rtl w:val="0"/>
        </w:rPr>
        <w:t xml:space="preserve"> – art. 6 ust. 1 lit.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 RODO.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Sprawozdawczość i rozliczenie dotacji / kontrole</w:t>
      </w:r>
      <w:r w:rsidDel="00000000" w:rsidR="00000000" w:rsidRPr="00000000">
        <w:rPr>
          <w:rtl w:val="0"/>
        </w:rPr>
        <w:t xml:space="preserve"> – art. 6 ust. 1 lit.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Ustalenie i dochodzenie roszczeń / obrona</w:t>
      </w:r>
      <w:r w:rsidDel="00000000" w:rsidR="00000000" w:rsidRPr="00000000">
        <w:rPr>
          <w:rtl w:val="0"/>
        </w:rPr>
        <w:t xml:space="preserve"> – art. 6 ust. 1 lit. </w:t>
      </w:r>
      <w:r w:rsidDel="00000000" w:rsidR="00000000" w:rsidRPr="00000000">
        <w:rPr>
          <w:b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Wizerunek z wydarzeń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zgoda</w:t>
      </w:r>
      <w:r w:rsidDel="00000000" w:rsidR="00000000" w:rsidRPr="00000000">
        <w:rPr>
          <w:rtl w:val="0"/>
        </w:rPr>
        <w:t xml:space="preserve">, art. 6 ust. 1 lit.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(opcjonalnie).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vhcsir1f8e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3) Zakres danych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Dane identyfikacyjne i kontaktowe (np. imię, nazwisko, e-mail, tel.), organizacja/rola, preferencje terminów.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Dobrowolnie:</w:t>
      </w:r>
      <w:r w:rsidDel="00000000" w:rsidR="00000000" w:rsidRPr="00000000">
        <w:rPr>
          <w:rtl w:val="0"/>
        </w:rPr>
        <w:t xml:space="preserve"> potrzeby dostępności. </w:t>
      </w:r>
      <w:r w:rsidDel="00000000" w:rsidR="00000000" w:rsidRPr="00000000">
        <w:rPr>
          <w:b w:val="1"/>
          <w:rtl w:val="0"/>
        </w:rPr>
        <w:t xml:space="preserve">Nie zbieramy</w:t>
      </w:r>
      <w:r w:rsidDel="00000000" w:rsidR="00000000" w:rsidRPr="00000000">
        <w:rPr>
          <w:rtl w:val="0"/>
        </w:rPr>
        <w:t xml:space="preserve"> szczególnych kategorii danych.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ceqtupnv0gl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4) Odbiorcy danych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NIW-CRSO</w:t>
      </w:r>
      <w:r w:rsidDel="00000000" w:rsidR="00000000" w:rsidRPr="00000000">
        <w:rPr>
          <w:rtl w:val="0"/>
        </w:rPr>
        <w:t xml:space="preserve"> – w zakresie sprawozdawczości/kontroli.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Dostawcy IT/księgowości</w:t>
      </w:r>
      <w:r w:rsidDel="00000000" w:rsidR="00000000" w:rsidRPr="00000000">
        <w:rPr>
          <w:rtl w:val="0"/>
        </w:rPr>
        <w:t xml:space="preserve"> działający na nasze zlecenie (podmioty przetwarzające).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Google (Google Forms)</w:t>
      </w:r>
      <w:r w:rsidDel="00000000" w:rsidR="00000000" w:rsidRPr="00000000">
        <w:rPr>
          <w:rtl w:val="0"/>
        </w:rPr>
        <w:t xml:space="preserve"> – narzędzie do zbierania zgłoszeń; możliwy transfer poza EOG.</w:t>
        <w:br w:type="textWrapping"/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vtcb5xfj0y5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5) Przekazywanie poza EOG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związku z narzędziami Google dane </w:t>
      </w:r>
      <w:r w:rsidDel="00000000" w:rsidR="00000000" w:rsidRPr="00000000">
        <w:rPr>
          <w:b w:val="1"/>
          <w:rtl w:val="0"/>
        </w:rPr>
        <w:t xml:space="preserve">mogą</w:t>
      </w:r>
      <w:r w:rsidDel="00000000" w:rsidR="00000000" w:rsidRPr="00000000">
        <w:rPr>
          <w:rtl w:val="0"/>
        </w:rPr>
        <w:t xml:space="preserve"> trafić poza EOG (np. USA). Stosujemy wymagane zabezpieczenia (m.in. </w:t>
      </w:r>
      <w:r w:rsidDel="00000000" w:rsidR="00000000" w:rsidRPr="00000000">
        <w:rPr>
          <w:b w:val="1"/>
          <w:rtl w:val="0"/>
        </w:rPr>
        <w:t xml:space="preserve">SCC</w:t>
      </w:r>
      <w:r w:rsidDel="00000000" w:rsidR="00000000" w:rsidRPr="00000000">
        <w:rPr>
          <w:rtl w:val="0"/>
        </w:rPr>
        <w:t xml:space="preserve">). Informacje o zabezpieczeniach – na żądanie.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2uphhuh6zb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j26o7syxkom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6) Okres przechowywania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zakończenia i </w:t>
      </w:r>
      <w:r w:rsidDel="00000000" w:rsidR="00000000" w:rsidRPr="00000000">
        <w:rPr>
          <w:b w:val="1"/>
          <w:rtl w:val="0"/>
        </w:rPr>
        <w:t xml:space="preserve">rozliczenia projektu</w:t>
      </w:r>
      <w:r w:rsidDel="00000000" w:rsidR="00000000" w:rsidRPr="00000000">
        <w:rPr>
          <w:rtl w:val="0"/>
        </w:rPr>
        <w:t xml:space="preserve">, następnie przez okres wymagany przepisami (finanse publiczne, podatki, archiwizacja) oraz do upływu terminów </w:t>
      </w:r>
      <w:r w:rsidDel="00000000" w:rsidR="00000000" w:rsidRPr="00000000">
        <w:rPr>
          <w:b w:val="1"/>
          <w:rtl w:val="0"/>
        </w:rPr>
        <w:t xml:space="preserve">przedawnienia roszczeń</w:t>
      </w:r>
      <w:r w:rsidDel="00000000" w:rsidR="00000000" w:rsidRPr="00000000">
        <w:rPr>
          <w:rtl w:val="0"/>
        </w:rPr>
        <w:t xml:space="preserve">.</w:t>
        <w:br w:type="textWrapping"/>
        <w:t xml:space="preserve"> Dane przetwarzane na podstawie </w:t>
      </w:r>
      <w:r w:rsidDel="00000000" w:rsidR="00000000" w:rsidRPr="00000000">
        <w:rPr>
          <w:b w:val="1"/>
          <w:rtl w:val="0"/>
        </w:rPr>
        <w:t xml:space="preserve">zgody</w:t>
      </w:r>
      <w:r w:rsidDel="00000000" w:rsidR="00000000" w:rsidRPr="00000000">
        <w:rPr>
          <w:rtl w:val="0"/>
        </w:rPr>
        <w:t xml:space="preserve"> – do czasu jej </w:t>
      </w:r>
      <w:r w:rsidDel="00000000" w:rsidR="00000000" w:rsidRPr="00000000">
        <w:rPr>
          <w:b w:val="1"/>
          <w:rtl w:val="0"/>
        </w:rPr>
        <w:t xml:space="preserve">wycofania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crilnjhe9q9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7) Twoje prawa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Dostęp, sprostowanie, usunięcie, ograniczenie, przenoszenie (jeśli ma zastosowanie), sprzeciw (gdy podstawą jest lit. </w:t>
      </w:r>
      <w:r w:rsidDel="00000000" w:rsidR="00000000" w:rsidRPr="00000000">
        <w:rPr>
          <w:b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), skarga do </w:t>
      </w:r>
      <w:r w:rsidDel="00000000" w:rsidR="00000000" w:rsidRPr="00000000">
        <w:rPr>
          <w:b w:val="1"/>
          <w:rtl w:val="0"/>
        </w:rPr>
        <w:t xml:space="preserve">PUODO</w:t>
      </w:r>
      <w:r w:rsidDel="00000000" w:rsidR="00000000" w:rsidRPr="00000000">
        <w:rPr>
          <w:rtl w:val="0"/>
        </w:rPr>
        <w:t xml:space="preserve">. Zgodę można w każdej chwili </w:t>
      </w:r>
      <w:r w:rsidDel="00000000" w:rsidR="00000000" w:rsidRPr="00000000">
        <w:rPr>
          <w:b w:val="1"/>
          <w:rtl w:val="0"/>
        </w:rPr>
        <w:t xml:space="preserve">wycofać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dcvdcqwam0w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8) Obowiązek/dobrowolność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Podanie danych </w:t>
      </w:r>
      <w:r w:rsidDel="00000000" w:rsidR="00000000" w:rsidRPr="00000000">
        <w:rPr>
          <w:b w:val="1"/>
          <w:rtl w:val="0"/>
        </w:rPr>
        <w:t xml:space="preserve">niezbędnych do rekrutacji i udziału</w:t>
      </w:r>
      <w:r w:rsidDel="00000000" w:rsidR="00000000" w:rsidRPr="00000000">
        <w:rPr>
          <w:rtl w:val="0"/>
        </w:rPr>
        <w:t xml:space="preserve"> jest dobrowolne, lecz konieczne do rozpatrzenia zgłoszenia. Zgody (newsletter, wizerunek) są </w:t>
      </w:r>
      <w:r w:rsidDel="00000000" w:rsidR="00000000" w:rsidRPr="00000000">
        <w:rPr>
          <w:b w:val="1"/>
          <w:rtl w:val="0"/>
        </w:rPr>
        <w:t xml:space="preserve">dobrowolne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3k8p226rk5z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9) Zautomatyzowane decyzje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Nie podejmujemy decyzji w sposób wyłącznie zautomatyzowany, nie profilujemy.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